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24" w:rsidRDefault="00EB3A69">
      <w:pPr>
        <w:spacing w:before="39"/>
        <w:ind w:left="4176"/>
        <w:rPr>
          <w:b/>
        </w:rPr>
      </w:pPr>
      <w:bookmarkStart w:id="0" w:name="_GoBack"/>
      <w:bookmarkEnd w:id="0"/>
      <w:r>
        <w:rPr>
          <w:b/>
        </w:rPr>
        <w:t>FINAL PUBLIC NOTICE</w:t>
      </w:r>
    </w:p>
    <w:p w:rsidR="00265624" w:rsidRDefault="00EB3A69">
      <w:pPr>
        <w:pStyle w:val="BodyText"/>
        <w:spacing w:before="0"/>
        <w:ind w:left="120" w:right="114"/>
      </w:pPr>
      <w:r>
        <w:t xml:space="preserve">The Federal Emergency Management Agency (FEMA) has received the subgrant application for </w:t>
      </w:r>
      <w:r w:rsidR="000F540F" w:rsidRPr="000F540F">
        <w:t>K</w:t>
      </w:r>
      <w:r w:rsidR="000F540F">
        <w:t>entucky</w:t>
      </w:r>
      <w:r w:rsidR="000F540F" w:rsidRPr="000F540F">
        <w:t xml:space="preserve"> </w:t>
      </w:r>
      <w:r w:rsidR="000F540F">
        <w:t>Department of Transportation</w:t>
      </w:r>
      <w:r w:rsidR="000F540F" w:rsidRPr="000F540F">
        <w:t xml:space="preserve"> - District 12 - Pike County wide roads</w:t>
      </w:r>
      <w:r w:rsidR="000F540F">
        <w:t xml:space="preserve"> ID 1384,1441,2059 and 2062</w:t>
      </w:r>
      <w:r w:rsidR="006E0237">
        <w:t xml:space="preserve">. </w:t>
      </w:r>
      <w:r>
        <w:t>Pursuant to Executive Order</w:t>
      </w:r>
      <w:r>
        <w:rPr>
          <w:spacing w:val="-5"/>
        </w:rPr>
        <w:t xml:space="preserve"> </w:t>
      </w:r>
      <w:r>
        <w:t>11988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44</w:t>
      </w:r>
      <w:r>
        <w:rPr>
          <w:spacing w:val="-4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9.12,</w:t>
      </w:r>
      <w:r>
        <w:rPr>
          <w:spacing w:val="-4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FEMA’s</w:t>
      </w:r>
      <w:r>
        <w:rPr>
          <w:spacing w:val="-5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 under the Public Assistance (PA)</w:t>
      </w:r>
      <w:r>
        <w:rPr>
          <w:spacing w:val="-3"/>
        </w:rPr>
        <w:t xml:space="preserve"> </w:t>
      </w:r>
      <w:r>
        <w:t>Program.</w:t>
      </w:r>
    </w:p>
    <w:p w:rsidR="00265624" w:rsidRDefault="00EB3A69">
      <w:pPr>
        <w:pStyle w:val="BodyText"/>
        <w:spacing w:before="97"/>
        <w:ind w:left="120" w:right="114"/>
      </w:pPr>
      <w:r>
        <w:t xml:space="preserve">An initial disaster‐wide Public Notice was published </w:t>
      </w:r>
      <w:r w:rsidR="006E0237" w:rsidRPr="006E0237">
        <w:t>Thursday, April 26, 2018</w:t>
      </w:r>
      <w:r w:rsidR="006E0237">
        <w:t xml:space="preserve"> </w:t>
      </w:r>
      <w:r>
        <w:t xml:space="preserve">for </w:t>
      </w:r>
      <w:r w:rsidR="000F540F" w:rsidRPr="000F540F">
        <w:t>DR-4358 Severe Storms, Flooding, Landslides, and Mudslides</w:t>
      </w:r>
      <w:r w:rsidR="000F540F">
        <w:t xml:space="preserve">, </w:t>
      </w:r>
      <w:r>
        <w:t>Comments and other information</w:t>
      </w:r>
      <w:r>
        <w:rPr>
          <w:spacing w:val="-10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fully</w:t>
      </w:r>
      <w:r>
        <w:rPr>
          <w:spacing w:val="-10"/>
        </w:rPr>
        <w:t xml:space="preserve"> </w:t>
      </w:r>
      <w:r>
        <w:t>evaluated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FEMA</w:t>
      </w:r>
      <w:r>
        <w:rPr>
          <w:spacing w:val="-9"/>
        </w:rPr>
        <w:t xml:space="preserve"> </w:t>
      </w:r>
      <w:r>
        <w:t>along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economic,</w:t>
      </w:r>
      <w:r>
        <w:rPr>
          <w:spacing w:val="-9"/>
        </w:rPr>
        <w:t xml:space="preserve"> </w:t>
      </w:r>
      <w:r>
        <w:t>environmental,</w:t>
      </w:r>
      <w:r>
        <w:rPr>
          <w:spacing w:val="-9"/>
        </w:rPr>
        <w:t xml:space="preserve"> </w:t>
      </w:r>
      <w:r>
        <w:t>and safety</w:t>
      </w:r>
      <w:r>
        <w:rPr>
          <w:spacing w:val="-8"/>
        </w:rPr>
        <w:t xml:space="preserve"> </w:t>
      </w:r>
      <w:r>
        <w:t>considerations.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serves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project‐specific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FEMA’s</w:t>
      </w:r>
      <w:r>
        <w:rPr>
          <w:spacing w:val="-9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within the floodplain. FEMA has determined that the only practicable alternative is to fund the repairs of this critical facility already located within the floodplain prior the</w:t>
      </w:r>
      <w:r>
        <w:rPr>
          <w:spacing w:val="-3"/>
        </w:rPr>
        <w:t xml:space="preserve"> </w:t>
      </w:r>
      <w:r>
        <w:t>event.</w:t>
      </w:r>
    </w:p>
    <w:p w:rsidR="00265624" w:rsidRDefault="00EB3A69">
      <w:pPr>
        <w:pStyle w:val="BodyText"/>
        <w:spacing w:before="99"/>
        <w:ind w:left="120" w:right="118"/>
      </w:pP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conditional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federal,</w:t>
      </w:r>
      <w:r>
        <w:rPr>
          <w:spacing w:val="-4"/>
        </w:rPr>
        <w:t xml:space="preserve"> </w:t>
      </w:r>
      <w:r>
        <w:t>tribal,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 local laws, regulations, floodplain standards, permit requirements and conditions. This action complies with the National Flood Insurance Program (NFIP)</w:t>
      </w:r>
      <w:r>
        <w:rPr>
          <w:spacing w:val="-2"/>
        </w:rPr>
        <w:t xml:space="preserve"> </w:t>
      </w:r>
      <w:r>
        <w:t>requirements.</w:t>
      </w:r>
    </w:p>
    <w:p w:rsidR="00265624" w:rsidRDefault="00265624">
      <w:pPr>
        <w:pStyle w:val="BodyText"/>
        <w:jc w:val="left"/>
        <w:rPr>
          <w:sz w:val="21"/>
        </w:rPr>
      </w:pPr>
    </w:p>
    <w:p w:rsidR="00265624" w:rsidRDefault="00EB3A69">
      <w:pPr>
        <w:tabs>
          <w:tab w:val="left" w:pos="2999"/>
        </w:tabs>
        <w:spacing w:before="1"/>
        <w:ind w:left="120"/>
      </w:pPr>
      <w:r>
        <w:rPr>
          <w:b/>
        </w:rPr>
        <w:t>Responsible</w:t>
      </w:r>
      <w:r>
        <w:rPr>
          <w:b/>
          <w:spacing w:val="-5"/>
        </w:rPr>
        <w:t xml:space="preserve"> </w:t>
      </w:r>
      <w:r>
        <w:rPr>
          <w:b/>
        </w:rPr>
        <w:t>Entity</w:t>
      </w:r>
      <w:r>
        <w:t>:</w:t>
      </w:r>
      <w:r>
        <w:tab/>
        <w:t>FEMA Public Assistance (PA) Program</w:t>
      </w:r>
    </w:p>
    <w:p w:rsidR="00265624" w:rsidRDefault="00EB3A69">
      <w:pPr>
        <w:tabs>
          <w:tab w:val="left" w:pos="2999"/>
        </w:tabs>
        <w:spacing w:before="97"/>
        <w:ind w:left="120"/>
      </w:pPr>
      <w:r>
        <w:rPr>
          <w:b/>
        </w:rPr>
        <w:t>Applicant:</w:t>
      </w:r>
      <w:r>
        <w:rPr>
          <w:b/>
        </w:rPr>
        <w:tab/>
      </w:r>
      <w:r w:rsidR="000F540F" w:rsidRPr="000F540F">
        <w:t>K</w:t>
      </w:r>
      <w:r w:rsidR="000F540F">
        <w:t>entucky</w:t>
      </w:r>
      <w:r w:rsidR="000F540F" w:rsidRPr="000F540F">
        <w:t xml:space="preserve"> </w:t>
      </w:r>
      <w:r w:rsidR="000F540F">
        <w:t>Department of Transportation</w:t>
      </w:r>
      <w:r w:rsidR="000F540F" w:rsidRPr="000F540F">
        <w:t xml:space="preserve"> - District 12 - KYTC</w:t>
      </w:r>
    </w:p>
    <w:p w:rsidR="00265624" w:rsidRDefault="00EB3A69">
      <w:pPr>
        <w:tabs>
          <w:tab w:val="left" w:pos="2999"/>
        </w:tabs>
        <w:spacing w:before="98"/>
        <w:ind w:left="120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Title(s)</w:t>
      </w:r>
      <w:r>
        <w:t>:</w:t>
      </w:r>
      <w:r>
        <w:tab/>
      </w:r>
      <w:r w:rsidR="000F540F" w:rsidRPr="000F540F">
        <w:t>District 12 - KYTC - Pike County wide roads</w:t>
      </w:r>
      <w:r w:rsidR="000F540F">
        <w:t xml:space="preserve"> ID 1384,1441,2059 and 2062</w:t>
      </w:r>
    </w:p>
    <w:p w:rsidR="000F540F" w:rsidRDefault="00EB3A69">
      <w:pPr>
        <w:pStyle w:val="BodyText"/>
        <w:spacing w:before="97"/>
        <w:ind w:left="3000" w:right="116" w:hanging="2881"/>
      </w:pPr>
      <w:r>
        <w:rPr>
          <w:b/>
        </w:rPr>
        <w:t xml:space="preserve">Location of Proposed Work: </w:t>
      </w:r>
      <w:r w:rsidR="000F540F">
        <w:t xml:space="preserve">  </w:t>
      </w:r>
    </w:p>
    <w:tbl>
      <w:tblPr>
        <w:tblStyle w:val="PlainTable1"/>
        <w:tblW w:w="9450" w:type="dxa"/>
        <w:tblInd w:w="828" w:type="dxa"/>
        <w:tblLook w:val="04A0" w:firstRow="1" w:lastRow="0" w:firstColumn="1" w:lastColumn="0" w:noHBand="0" w:noVBand="1"/>
      </w:tblPr>
      <w:tblGrid>
        <w:gridCol w:w="3708"/>
        <w:gridCol w:w="5742"/>
      </w:tblGrid>
      <w:tr w:rsidR="00942711" w:rsidRPr="00942711" w:rsidTr="00942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942711" w:rsidRPr="00942711" w:rsidRDefault="00942711" w:rsidP="00942711">
            <w:pPr>
              <w:ind w:firstLine="490"/>
              <w:jc w:val="center"/>
              <w:rPr>
                <w:bCs w:val="0"/>
                <w:color w:val="000000"/>
              </w:rPr>
            </w:pPr>
            <w:r w:rsidRPr="00942711">
              <w:rPr>
                <w:bCs w:val="0"/>
                <w:color w:val="000000"/>
              </w:rPr>
              <w:t xml:space="preserve">Site Identification </w:t>
            </w:r>
          </w:p>
        </w:tc>
        <w:tc>
          <w:tcPr>
            <w:tcW w:w="5742" w:type="dxa"/>
            <w:noWrap/>
            <w:hideMark/>
          </w:tcPr>
          <w:p w:rsidR="00942711" w:rsidRPr="00942711" w:rsidRDefault="00942711" w:rsidP="0094271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942711">
              <w:rPr>
                <w:rFonts w:eastAsia="Times New Roman"/>
                <w:color w:val="000000"/>
              </w:rPr>
              <w:t xml:space="preserve">Project Locations </w:t>
            </w:r>
          </w:p>
        </w:tc>
      </w:tr>
      <w:tr w:rsidR="00942711" w:rsidRPr="00942711" w:rsidTr="00942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942711" w:rsidRPr="00942711" w:rsidRDefault="00942711" w:rsidP="00942711">
            <w:pPr>
              <w:rPr>
                <w:bCs w:val="0"/>
                <w:color w:val="000000"/>
              </w:rPr>
            </w:pPr>
            <w:r w:rsidRPr="00942711">
              <w:rPr>
                <w:bCs w:val="0"/>
                <w:color w:val="000000"/>
              </w:rPr>
              <w:t>District 12- Pike County KY 1384</w:t>
            </w:r>
          </w:p>
        </w:tc>
        <w:tc>
          <w:tcPr>
            <w:tcW w:w="5742" w:type="dxa"/>
            <w:noWrap/>
            <w:hideMark/>
          </w:tcPr>
          <w:p w:rsidR="00942711" w:rsidRPr="00942711" w:rsidRDefault="00942711" w:rsidP="0094271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942711">
              <w:rPr>
                <w:rFonts w:eastAsia="Times New Roman"/>
                <w:color w:val="000000"/>
              </w:rPr>
              <w:t>Location Start GPS (37.52820, -82.61770) End GPS (37.47870, -82.54420). Sites: Site)1 (37.5230, -82.6131), Site 2) (37.5215, -82.6120)</w:t>
            </w:r>
            <w:r>
              <w:rPr>
                <w:rFonts w:eastAsia="Times New Roman"/>
                <w:color w:val="000000"/>
              </w:rPr>
              <w:t>.</w:t>
            </w:r>
            <w:r w:rsidRPr="00942711">
              <w:rPr>
                <w:rFonts w:eastAsia="Times New Roman"/>
                <w:color w:val="000000"/>
              </w:rPr>
              <w:t xml:space="preserve">  Site 3) (37.5206, -82.6107). </w:t>
            </w:r>
          </w:p>
        </w:tc>
      </w:tr>
      <w:tr w:rsidR="00942711" w:rsidRPr="00942711" w:rsidTr="00942711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942711" w:rsidRPr="00942711" w:rsidRDefault="00942711" w:rsidP="00942711">
            <w:pPr>
              <w:ind w:firstLine="490"/>
              <w:rPr>
                <w:bCs w:val="0"/>
                <w:color w:val="000000"/>
              </w:rPr>
            </w:pPr>
            <w:r w:rsidRPr="00942711">
              <w:rPr>
                <w:bCs w:val="0"/>
                <w:color w:val="000000"/>
              </w:rPr>
              <w:t> </w:t>
            </w:r>
          </w:p>
        </w:tc>
        <w:tc>
          <w:tcPr>
            <w:tcW w:w="5742" w:type="dxa"/>
            <w:noWrap/>
            <w:hideMark/>
          </w:tcPr>
          <w:p w:rsidR="00942711" w:rsidRPr="00942711" w:rsidRDefault="00942711" w:rsidP="0094271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942711">
              <w:rPr>
                <w:rFonts w:eastAsia="Times New Roman"/>
                <w:color w:val="000000"/>
              </w:rPr>
              <w:t> </w:t>
            </w:r>
          </w:p>
        </w:tc>
      </w:tr>
      <w:tr w:rsidR="00942711" w:rsidRPr="00942711" w:rsidTr="00942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942711" w:rsidRPr="00942711" w:rsidRDefault="00942711" w:rsidP="00942711">
            <w:pPr>
              <w:rPr>
                <w:bCs w:val="0"/>
                <w:color w:val="000000"/>
              </w:rPr>
            </w:pPr>
            <w:r w:rsidRPr="00942711">
              <w:rPr>
                <w:bCs w:val="0"/>
                <w:color w:val="000000"/>
              </w:rPr>
              <w:t>District 12- Pike County KY 1441</w:t>
            </w:r>
          </w:p>
        </w:tc>
        <w:tc>
          <w:tcPr>
            <w:tcW w:w="5742" w:type="dxa"/>
            <w:noWrap/>
            <w:hideMark/>
          </w:tcPr>
          <w:p w:rsidR="00942711" w:rsidRPr="00942711" w:rsidRDefault="00942711" w:rsidP="0094271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942711">
              <w:rPr>
                <w:rFonts w:eastAsia="Times New Roman"/>
                <w:color w:val="000000"/>
              </w:rPr>
              <w:t xml:space="preserve">Location Start GPS (37.46268, -82.42214) End GPS (37.46302, -82.42264). Site 1) (37.46280, -82.42240) </w:t>
            </w:r>
          </w:p>
        </w:tc>
      </w:tr>
      <w:tr w:rsidR="00942711" w:rsidRPr="00942711" w:rsidTr="00942711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942711" w:rsidRPr="00942711" w:rsidRDefault="00942711" w:rsidP="00942711">
            <w:pPr>
              <w:rPr>
                <w:bCs w:val="0"/>
                <w:color w:val="000000"/>
              </w:rPr>
            </w:pPr>
            <w:r w:rsidRPr="00942711">
              <w:rPr>
                <w:bCs w:val="0"/>
                <w:color w:val="000000"/>
              </w:rPr>
              <w:t> </w:t>
            </w:r>
          </w:p>
        </w:tc>
        <w:tc>
          <w:tcPr>
            <w:tcW w:w="5742" w:type="dxa"/>
            <w:noWrap/>
            <w:hideMark/>
          </w:tcPr>
          <w:p w:rsidR="00942711" w:rsidRPr="00942711" w:rsidRDefault="00942711" w:rsidP="0094271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942711">
              <w:rPr>
                <w:rFonts w:eastAsia="Times New Roman"/>
                <w:color w:val="000000"/>
              </w:rPr>
              <w:t> </w:t>
            </w:r>
          </w:p>
        </w:tc>
      </w:tr>
      <w:tr w:rsidR="00942711" w:rsidRPr="00942711" w:rsidTr="00942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942711" w:rsidRPr="00942711" w:rsidRDefault="00942711" w:rsidP="00942711">
            <w:pPr>
              <w:rPr>
                <w:bCs w:val="0"/>
                <w:color w:val="000000"/>
              </w:rPr>
            </w:pPr>
            <w:r w:rsidRPr="00942711">
              <w:rPr>
                <w:bCs w:val="0"/>
                <w:color w:val="000000"/>
              </w:rPr>
              <w:t>District 12- Pike County KY 2059</w:t>
            </w:r>
          </w:p>
        </w:tc>
        <w:tc>
          <w:tcPr>
            <w:tcW w:w="5742" w:type="dxa"/>
            <w:noWrap/>
            <w:hideMark/>
          </w:tcPr>
          <w:p w:rsidR="00942711" w:rsidRPr="00942711" w:rsidRDefault="00942711" w:rsidP="0094271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942711">
              <w:rPr>
                <w:rFonts w:eastAsia="Times New Roman"/>
                <w:color w:val="000000"/>
              </w:rPr>
              <w:t xml:space="preserve">Location Start GPS (37.51480, -82.04820) End GPS (37.51640, -82.05000). Site 1) (37.5148, -82.0482). Site 2) (37.5164, -82.0500).  </w:t>
            </w:r>
          </w:p>
        </w:tc>
      </w:tr>
      <w:tr w:rsidR="00942711" w:rsidRPr="00942711" w:rsidTr="00942711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942711" w:rsidRPr="00942711" w:rsidRDefault="00942711" w:rsidP="00942711">
            <w:pPr>
              <w:rPr>
                <w:bCs w:val="0"/>
                <w:color w:val="000000"/>
              </w:rPr>
            </w:pPr>
            <w:r w:rsidRPr="00942711">
              <w:rPr>
                <w:bCs w:val="0"/>
                <w:color w:val="000000"/>
              </w:rPr>
              <w:t> </w:t>
            </w:r>
          </w:p>
        </w:tc>
        <w:tc>
          <w:tcPr>
            <w:tcW w:w="5742" w:type="dxa"/>
            <w:noWrap/>
            <w:hideMark/>
          </w:tcPr>
          <w:p w:rsidR="00942711" w:rsidRPr="00942711" w:rsidRDefault="00942711" w:rsidP="00942711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942711">
              <w:rPr>
                <w:rFonts w:eastAsia="Times New Roman"/>
                <w:color w:val="000000"/>
              </w:rPr>
              <w:t> </w:t>
            </w:r>
          </w:p>
        </w:tc>
      </w:tr>
      <w:tr w:rsidR="00942711" w:rsidRPr="00942711" w:rsidTr="00942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942711" w:rsidRPr="00942711" w:rsidRDefault="00942711" w:rsidP="00942711">
            <w:pPr>
              <w:rPr>
                <w:bCs w:val="0"/>
                <w:color w:val="000000"/>
              </w:rPr>
            </w:pPr>
            <w:r w:rsidRPr="00942711">
              <w:rPr>
                <w:bCs w:val="0"/>
                <w:color w:val="000000"/>
              </w:rPr>
              <w:t>District 12- Pike County KY 2062</w:t>
            </w:r>
          </w:p>
        </w:tc>
        <w:tc>
          <w:tcPr>
            <w:tcW w:w="5742" w:type="dxa"/>
            <w:noWrap/>
            <w:hideMark/>
          </w:tcPr>
          <w:p w:rsidR="00942711" w:rsidRPr="00942711" w:rsidRDefault="00942711" w:rsidP="0094271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942711">
              <w:rPr>
                <w:rFonts w:eastAsia="Times New Roman"/>
                <w:color w:val="000000"/>
              </w:rPr>
              <w:t>Location Start GPS (37.50550, -82.13420) End GPS (37.51610, -82.09370). Site 1) (37.5050, -82.1212). Site 2) (37.5040, -82.1198) This site includes repairs to Culvert,1 each of corrugated metal, 40 FT long x 18 IN in diameter. Site 3) (37.5130, -82.1122).</w:t>
            </w:r>
          </w:p>
        </w:tc>
      </w:tr>
    </w:tbl>
    <w:p w:rsidR="000F540F" w:rsidRDefault="00EB3A69">
      <w:pPr>
        <w:pStyle w:val="BodyText"/>
        <w:tabs>
          <w:tab w:val="left" w:pos="2999"/>
        </w:tabs>
        <w:spacing w:before="98"/>
        <w:ind w:left="3000" w:right="117" w:hanging="2881"/>
        <w:rPr>
          <w:b/>
        </w:rPr>
      </w:pPr>
      <w:r>
        <w:rPr>
          <w:b/>
        </w:rPr>
        <w:t>Floodplain</w:t>
      </w:r>
      <w:r w:rsidR="000F540F">
        <w:rPr>
          <w:b/>
        </w:rPr>
        <w:t xml:space="preserve"> Locations</w:t>
      </w:r>
      <w:r>
        <w:rPr>
          <w:b/>
        </w:rPr>
        <w:t>:</w:t>
      </w:r>
      <w:r>
        <w:rPr>
          <w:b/>
        </w:rPr>
        <w:tab/>
      </w:r>
    </w:p>
    <w:tbl>
      <w:tblPr>
        <w:tblStyle w:val="PlainTable1"/>
        <w:tblW w:w="9463" w:type="dxa"/>
        <w:tblInd w:w="849" w:type="dxa"/>
        <w:tblLook w:val="04A0" w:firstRow="1" w:lastRow="0" w:firstColumn="1" w:lastColumn="0" w:noHBand="0" w:noVBand="1"/>
      </w:tblPr>
      <w:tblGrid>
        <w:gridCol w:w="3295"/>
        <w:gridCol w:w="6168"/>
      </w:tblGrid>
      <w:tr w:rsidR="00F90778" w:rsidTr="00F9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dxa"/>
            <w:noWrap/>
            <w:hideMark/>
          </w:tcPr>
          <w:p w:rsidR="00F90778" w:rsidRPr="00F90778" w:rsidRDefault="00F90778">
            <w:pPr>
              <w:jc w:val="center"/>
              <w:rPr>
                <w:rFonts w:eastAsia="Times New Roman"/>
                <w:color w:val="000000"/>
              </w:rPr>
            </w:pPr>
            <w:bookmarkStart w:id="1" w:name="_Hlk4569460"/>
            <w:r w:rsidRPr="00F90778">
              <w:rPr>
                <w:bCs w:val="0"/>
                <w:color w:val="000000"/>
              </w:rPr>
              <w:t xml:space="preserve">Site Identification </w:t>
            </w:r>
            <w:bookmarkEnd w:id="1"/>
          </w:p>
        </w:tc>
        <w:tc>
          <w:tcPr>
            <w:tcW w:w="6168" w:type="dxa"/>
            <w:noWrap/>
            <w:hideMark/>
          </w:tcPr>
          <w:p w:rsidR="00F90778" w:rsidRPr="00F90778" w:rsidRDefault="00F90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F90778">
              <w:rPr>
                <w:bCs w:val="0"/>
                <w:color w:val="000000"/>
              </w:rPr>
              <w:t xml:space="preserve">Floodplain Locations </w:t>
            </w:r>
          </w:p>
        </w:tc>
      </w:tr>
      <w:tr w:rsidR="00F90778" w:rsidTr="00F9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90778" w:rsidRDefault="00F90778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District 12- Pike County KY 1384</w:t>
            </w:r>
          </w:p>
        </w:tc>
        <w:tc>
          <w:tcPr>
            <w:tcW w:w="6168" w:type="dxa"/>
            <w:noWrap/>
            <w:hideMark/>
          </w:tcPr>
          <w:p w:rsidR="00F90778" w:rsidRDefault="00F9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Sites 1, 2, and 3 Located in Map Panel Number:21195C0113H. Effective FIRM Date:    04/16/2013 Flood Zone: AE/ X Un-shaded. </w:t>
            </w:r>
          </w:p>
        </w:tc>
      </w:tr>
      <w:tr w:rsidR="00F90778" w:rsidTr="00F907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90778" w:rsidRPr="00F90778" w:rsidRDefault="00F90778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6168" w:type="dxa"/>
            <w:noWrap/>
            <w:hideMark/>
          </w:tcPr>
          <w:p w:rsidR="00F90778" w:rsidRDefault="00F90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0778" w:rsidTr="00F9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90778" w:rsidRDefault="00F907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District 12- Pike County KY 1441</w:t>
            </w:r>
          </w:p>
        </w:tc>
        <w:tc>
          <w:tcPr>
            <w:tcW w:w="6168" w:type="dxa"/>
            <w:noWrap/>
            <w:hideMark/>
          </w:tcPr>
          <w:p w:rsidR="00F90778" w:rsidRDefault="00F9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Site 1 Located in Map Panel Number:21195C0310J. Effective FIRM Date:   09/16/2015.Flood Zone: X unshaded</w:t>
            </w:r>
          </w:p>
        </w:tc>
      </w:tr>
      <w:tr w:rsidR="00F90778" w:rsidTr="00F90778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90778" w:rsidRDefault="00F907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68" w:type="dxa"/>
            <w:noWrap/>
            <w:hideMark/>
          </w:tcPr>
          <w:p w:rsidR="00F90778" w:rsidRDefault="00F90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0778" w:rsidTr="00F9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90778" w:rsidRDefault="00F907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District 12- Pike County KY 2059</w:t>
            </w:r>
          </w:p>
        </w:tc>
        <w:tc>
          <w:tcPr>
            <w:tcW w:w="6168" w:type="dxa"/>
            <w:noWrap/>
            <w:hideMark/>
          </w:tcPr>
          <w:p w:rsidR="00F90778" w:rsidRDefault="00F9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Sites 1, and 2 Map Located Panel Number:21195C0220J. Effective FIRM Date: 09/16/2015. Flood Zone: A. </w:t>
            </w:r>
          </w:p>
        </w:tc>
      </w:tr>
      <w:tr w:rsidR="00F90778" w:rsidTr="00F90778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90778" w:rsidRDefault="00F907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68" w:type="dxa"/>
            <w:noWrap/>
            <w:hideMark/>
          </w:tcPr>
          <w:p w:rsidR="00F90778" w:rsidRDefault="00F90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0778" w:rsidTr="00F9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90778" w:rsidRDefault="00F907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District 12- Pike County KY 2062</w:t>
            </w:r>
          </w:p>
        </w:tc>
        <w:tc>
          <w:tcPr>
            <w:tcW w:w="6168" w:type="dxa"/>
            <w:noWrap/>
            <w:hideMark/>
          </w:tcPr>
          <w:p w:rsidR="00F90778" w:rsidRDefault="00F9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Sites 1,2, and 3 Located in Map Panel Number: 21195C0215H.Effective FIRM Date: 4/16/2013. Flood Zone: X - unshaded</w:t>
            </w:r>
          </w:p>
        </w:tc>
      </w:tr>
    </w:tbl>
    <w:p w:rsidR="00F90778" w:rsidRDefault="00F90778">
      <w:pPr>
        <w:pStyle w:val="BodyText"/>
        <w:spacing w:before="98"/>
        <w:ind w:left="3000" w:right="117" w:hanging="2881"/>
        <w:rPr>
          <w:b/>
        </w:rPr>
      </w:pPr>
      <w:r>
        <w:rPr>
          <w:b/>
        </w:rPr>
        <w:lastRenderedPageBreak/>
        <w:t xml:space="preserve"> </w:t>
      </w:r>
    </w:p>
    <w:p w:rsidR="00F90778" w:rsidRDefault="00F90778">
      <w:pPr>
        <w:pStyle w:val="BodyText"/>
        <w:spacing w:before="98"/>
        <w:ind w:left="3000" w:right="117" w:hanging="2881"/>
        <w:rPr>
          <w:b/>
        </w:rPr>
      </w:pPr>
    </w:p>
    <w:p w:rsidR="00265624" w:rsidRDefault="00EB3A69">
      <w:pPr>
        <w:pStyle w:val="BodyText"/>
        <w:spacing w:before="98"/>
        <w:ind w:left="3000" w:right="117" w:hanging="2881"/>
      </w:pPr>
      <w:r>
        <w:rPr>
          <w:b/>
        </w:rPr>
        <w:t xml:space="preserve">Proposed Work and Purpose: </w:t>
      </w:r>
      <w:r w:rsidR="00CF1040">
        <w:rPr>
          <w:b/>
        </w:rPr>
        <w:t xml:space="preserve"> </w:t>
      </w:r>
      <w:r w:rsidR="00A26BF8" w:rsidRPr="00CF1040">
        <w:t xml:space="preserve">Applicant </w:t>
      </w:r>
      <w:r w:rsidR="00A26BF8">
        <w:t>will</w:t>
      </w:r>
      <w:r w:rsidR="00CF1040">
        <w:t xml:space="preserve"> repair District </w:t>
      </w:r>
      <w:r w:rsidR="003D7B15">
        <w:t xml:space="preserve">12 </w:t>
      </w:r>
      <w:r w:rsidR="003D7B15" w:rsidRPr="00CF1040">
        <w:t>roads</w:t>
      </w:r>
      <w:r w:rsidR="00CF1040" w:rsidRPr="00CF1040">
        <w:t xml:space="preserve"> in multiple sites, utilized by local residences, school, postal, and emergency </w:t>
      </w:r>
      <w:r w:rsidR="00DC5163" w:rsidRPr="00CF1040">
        <w:t>vehicles</w:t>
      </w:r>
      <w:r w:rsidR="00DC5163">
        <w:t>,</w:t>
      </w:r>
      <w:r w:rsidR="00942711">
        <w:t xml:space="preserve"> and the</w:t>
      </w:r>
      <w:r w:rsidR="00CF1040">
        <w:t xml:space="preserve"> repairs include </w:t>
      </w:r>
      <w:r>
        <w:t xml:space="preserve">replace and replacement of </w:t>
      </w:r>
      <w:r w:rsidR="00CF1040" w:rsidRPr="00CF1040">
        <w:t>asphalt surface road</w:t>
      </w:r>
      <w:r w:rsidR="00CF1040">
        <w:t xml:space="preserve">, </w:t>
      </w:r>
      <w:r w:rsidR="00CF1040" w:rsidRPr="00CF1040">
        <w:t>piling and cribbing railroad, embarkment, guard rail</w:t>
      </w:r>
      <w:r>
        <w:t>, and a culvert</w:t>
      </w:r>
      <w:r w:rsidR="00942711">
        <w:t xml:space="preserve"> repair</w:t>
      </w:r>
      <w:r>
        <w:t xml:space="preserve"> in road ID 2062.</w:t>
      </w:r>
    </w:p>
    <w:p w:rsidR="00F90778" w:rsidRDefault="00F90778">
      <w:pPr>
        <w:pStyle w:val="BodyText"/>
        <w:spacing w:before="98"/>
        <w:ind w:left="3000" w:right="117" w:hanging="2881"/>
      </w:pPr>
    </w:p>
    <w:p w:rsidR="00265624" w:rsidRDefault="00265624">
      <w:pPr>
        <w:pStyle w:val="BodyText"/>
        <w:jc w:val="left"/>
        <w:rPr>
          <w:sz w:val="21"/>
        </w:rPr>
      </w:pPr>
    </w:p>
    <w:p w:rsidR="00265624" w:rsidRDefault="00EB3A69">
      <w:pPr>
        <w:pStyle w:val="BodyText"/>
        <w:tabs>
          <w:tab w:val="left" w:pos="2999"/>
        </w:tabs>
        <w:spacing w:before="1"/>
        <w:ind w:left="2999" w:right="116" w:hanging="2880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Alternatives</w:t>
      </w:r>
      <w:r>
        <w:t>:</w:t>
      </w:r>
      <w:r>
        <w:tab/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alternatives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considered:</w:t>
      </w:r>
      <w:r>
        <w:rPr>
          <w:spacing w:val="-12"/>
        </w:rPr>
        <w:t xml:space="preserve"> </w:t>
      </w:r>
      <w:r>
        <w:t>(1)</w:t>
      </w:r>
      <w:r>
        <w:rPr>
          <w:spacing w:val="-12"/>
        </w:rPr>
        <w:t xml:space="preserve"> </w:t>
      </w:r>
      <w:r>
        <w:t>Relocation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facilities</w:t>
      </w:r>
      <w:r>
        <w:rPr>
          <w:spacing w:val="-12"/>
        </w:rPr>
        <w:t xml:space="preserve"> </w:t>
      </w:r>
      <w:r>
        <w:t>outside the floodplain– There are no practicable alternatives to locating the proposed actions outside the floodplain. The damages to the facilities are limited in scope. The</w:t>
      </w:r>
      <w:r>
        <w:rPr>
          <w:spacing w:val="-10"/>
        </w:rPr>
        <w:t xml:space="preserve"> </w:t>
      </w:r>
      <w:r>
        <w:t>cost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relocation</w:t>
      </w:r>
      <w:r>
        <w:rPr>
          <w:spacing w:val="-12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likely</w:t>
      </w:r>
      <w:r>
        <w:rPr>
          <w:spacing w:val="-11"/>
        </w:rPr>
        <w:t xml:space="preserve"> </w:t>
      </w:r>
      <w:r>
        <w:t>outweigh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cost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repair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damages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 current</w:t>
      </w:r>
      <w:r>
        <w:rPr>
          <w:spacing w:val="-5"/>
        </w:rPr>
        <w:t xml:space="preserve"> </w:t>
      </w:r>
      <w:r>
        <w:t>locations.</w:t>
      </w:r>
      <w:r>
        <w:rPr>
          <w:spacing w:val="-5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‐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feasible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 repairs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E0237">
        <w:t xml:space="preserve">roads </w:t>
      </w:r>
      <w:r w:rsidR="006E0237">
        <w:rPr>
          <w:spacing w:val="-5"/>
        </w:rPr>
        <w:t>remain</w:t>
      </w:r>
      <w:r>
        <w:rPr>
          <w:spacing w:val="-5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6E0237">
        <w:t>operational, they must be in the current location to perform its designed function. Roads provide the ingress/egress routes to the community, the provide mail routes, school bus routes, and emergency vehicle access and evacuation routes, With</w:t>
      </w:r>
      <w:r>
        <w:t xml:space="preserve"> the no action alternative, continued negative impacts to the facilities may be</w:t>
      </w:r>
      <w:r>
        <w:rPr>
          <w:spacing w:val="-2"/>
        </w:rPr>
        <w:t xml:space="preserve"> </w:t>
      </w:r>
      <w:r>
        <w:t>experienced.</w:t>
      </w:r>
    </w:p>
    <w:p w:rsidR="00265624" w:rsidRDefault="00265624">
      <w:pPr>
        <w:pStyle w:val="BodyText"/>
        <w:jc w:val="left"/>
        <w:rPr>
          <w:sz w:val="21"/>
        </w:rPr>
      </w:pPr>
    </w:p>
    <w:p w:rsidR="00265624" w:rsidRDefault="00EB3A69">
      <w:pPr>
        <w:pStyle w:val="BodyText"/>
        <w:tabs>
          <w:tab w:val="left" w:pos="2999"/>
        </w:tabs>
        <w:spacing w:before="1"/>
        <w:ind w:left="2999" w:right="118" w:hanging="2881"/>
      </w:pPr>
      <w:r>
        <w:rPr>
          <w:b/>
        </w:rPr>
        <w:t>Comments:</w:t>
      </w:r>
      <w:r>
        <w:rPr>
          <w:b/>
        </w:rPr>
        <w:tab/>
      </w:r>
      <w:r>
        <w:t xml:space="preserve">This will serve as the final public notice regarding the above‐described action funded by the FEMA PA program. Interested persons may submit comments, questions, or request a map of this specific project by writing to the Federal Emergency Management Agency, Region 4, 3003 Chamblee‐Tucker Road, Atlanta, Georgia 30341, or by emailing </w:t>
      </w:r>
      <w:hyperlink r:id="rId5">
        <w:r>
          <w:t>FEMA‐R4</w:t>
        </w:r>
      </w:hyperlink>
      <w:r>
        <w:t>EHP</w:t>
      </w:r>
      <w:hyperlink r:id="rId6">
        <w:r>
          <w:t xml:space="preserve">@fema.dhs.gov. </w:t>
        </w:r>
      </w:hyperlink>
      <w:r>
        <w:t xml:space="preserve">Comments should be sent in writing with the subject line </w:t>
      </w:r>
      <w:r w:rsidRPr="000F540F">
        <w:t>District 12 - KYTC - Pike County wide roads</w:t>
      </w:r>
      <w:r>
        <w:t xml:space="preserve"> ID 1384,1441,2059</w:t>
      </w:r>
      <w:r w:rsidR="009672A4">
        <w:t xml:space="preserve"> </w:t>
      </w:r>
      <w:r>
        <w:t>and 2062,</w:t>
      </w:r>
      <w:r w:rsidRPr="00EB3A69">
        <w:t xml:space="preserve"> </w:t>
      </w:r>
      <w:r w:rsidRPr="000F540F">
        <w:t>K</w:t>
      </w:r>
      <w:r>
        <w:t>entucky</w:t>
      </w:r>
      <w:r w:rsidRPr="000F540F">
        <w:t xml:space="preserve"> </w:t>
      </w:r>
      <w:r>
        <w:t>Department of Transportation</w:t>
      </w:r>
      <w:r w:rsidR="009672A4">
        <w:t xml:space="preserve">, 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above addresses within 15 days of the date of this</w:t>
      </w:r>
      <w:r>
        <w:rPr>
          <w:spacing w:val="-6"/>
        </w:rPr>
        <w:t xml:space="preserve"> </w:t>
      </w:r>
      <w:r>
        <w:t>notice.</w:t>
      </w:r>
    </w:p>
    <w:sectPr w:rsidR="00265624">
      <w:type w:val="continuous"/>
      <w:pgSz w:w="12240" w:h="15840"/>
      <w:pgMar w:top="680" w:right="1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F34"/>
    <w:multiLevelType w:val="hybridMultilevel"/>
    <w:tmpl w:val="F56CE41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24"/>
    <w:rsid w:val="000F540F"/>
    <w:rsid w:val="00265624"/>
    <w:rsid w:val="003D7B15"/>
    <w:rsid w:val="006E0237"/>
    <w:rsid w:val="00942711"/>
    <w:rsid w:val="009672A4"/>
    <w:rsid w:val="009E6947"/>
    <w:rsid w:val="00A26BF8"/>
    <w:rsid w:val="00CF1040"/>
    <w:rsid w:val="00DC5163"/>
    <w:rsid w:val="00EB3A69"/>
    <w:rsid w:val="00F9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C21C7-B5A0-4938-AA05-7A5C81A5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ate-display-single">
    <w:name w:val="date-display-single"/>
    <w:basedOn w:val="DefaultParagraphFont"/>
    <w:rsid w:val="006E0237"/>
  </w:style>
  <w:style w:type="table" w:styleId="PlainTable1">
    <w:name w:val="Plain Table 1"/>
    <w:basedOn w:val="TableNormal"/>
    <w:uiPriority w:val="41"/>
    <w:rsid w:val="00F907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4EHP@fema.dhs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4EHP@fema.dhs.gov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378496CF0145B0F21A6151307020" ma:contentTypeVersion="1" ma:contentTypeDescription="Create a new document." ma:contentTypeScope="" ma:versionID="4c56d6ca50d2b4c3aaacab75555af017">
  <xsd:schema xmlns:xsd="http://www.w3.org/2001/XMLSchema" xmlns:xs="http://www.w3.org/2001/XMLSchema" xmlns:p="http://schemas.microsoft.com/office/2006/metadata/properties" xmlns:ns2="e3067e69-c05f-4f16-89d7-3d4ecb074316" targetNamespace="http://schemas.microsoft.com/office/2006/metadata/properties" ma:root="true" ma:fieldsID="19ea985b312a064eeac28d4bbafbfeb1" ns2:_="">
    <xsd:import namespace="e3067e69-c05f-4f16-89d7-3d4ecb074316"/>
    <xsd:element name="properties">
      <xsd:complexType>
        <xsd:sequence>
          <xsd:element name="documentManagement">
            <xsd:complexType>
              <xsd:all>
                <xsd:element ref="ns2:Distri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7e69-c05f-4f16-89d7-3d4ecb074316" elementFormDefault="qualified">
    <xsd:import namespace="http://schemas.microsoft.com/office/2006/documentManagement/types"/>
    <xsd:import namespace="http://schemas.microsoft.com/office/infopath/2007/PartnerControls"/>
    <xsd:element name="District" ma:index="8" nillable="true" ma:displayName="District" ma:default="1" ma:format="Dropdown" ma:internalName="Distric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ct xmlns="e3067e69-c05f-4f16-89d7-3d4ecb074316">12</District>
  </documentManagement>
</p:properties>
</file>

<file path=customXml/itemProps1.xml><?xml version="1.0" encoding="utf-8"?>
<ds:datastoreItem xmlns:ds="http://schemas.openxmlformats.org/officeDocument/2006/customXml" ds:itemID="{83CA8F29-F965-4EEA-9237-AE6C5630CBA0}"/>
</file>

<file path=customXml/itemProps2.xml><?xml version="1.0" encoding="utf-8"?>
<ds:datastoreItem xmlns:ds="http://schemas.openxmlformats.org/officeDocument/2006/customXml" ds:itemID="{47811A77-3CC6-4FA2-9BB5-36A8D60264B7}"/>
</file>

<file path=customXml/itemProps3.xml><?xml version="1.0" encoding="utf-8"?>
<ds:datastoreItem xmlns:ds="http://schemas.openxmlformats.org/officeDocument/2006/customXml" ds:itemID="{59660A50-B9D4-4A02-BCE1-BDEC369AA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- 20190302 EHP 4337-04992 FPN City of Fort Lauderdale PN 24842</vt:lpstr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20190327 EHP 4361-PW-00199-47349 FPN_ Ky_DOT_Distric12_V2</dc:title>
  <dc:creator>acalhou2</dc:creator>
  <cp:lastModifiedBy>Lawson, ODail (KYTC)</cp:lastModifiedBy>
  <cp:revision>2</cp:revision>
  <dcterms:created xsi:type="dcterms:W3CDTF">2019-05-03T14:09:00Z</dcterms:created>
  <dcterms:modified xsi:type="dcterms:W3CDTF">2019-05-03T14:09:00Z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2019-03-27T00:00:00Z</vt:filetime>
  </property>
  <property fmtid="{D5CDD505-2E9C-101B-9397-08002B2CF9AE}" pid="5" name="ContentTypeId">
    <vt:lpwstr>0x0101001AFB378496CF0145B0F21A6151307020</vt:lpwstr>
  </property>
</Properties>
</file>